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23" w:type="pct"/>
        <w:tblInd w:w="-12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86"/>
        <w:gridCol w:w="3516"/>
        <w:gridCol w:w="2121"/>
        <w:gridCol w:w="454"/>
        <w:gridCol w:w="861"/>
        <w:gridCol w:w="1045"/>
        <w:gridCol w:w="693"/>
        <w:gridCol w:w="540"/>
        <w:gridCol w:w="474"/>
        <w:gridCol w:w="799"/>
      </w:tblGrid>
      <w:tr w:rsidR="00B243D5" w:rsidRPr="006535DF" w14:paraId="701F8C76" w14:textId="77777777" w:rsidTr="00E53DD3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6132CC7" w14:textId="77777777" w:rsidR="00C216E8" w:rsidRPr="006535DF" w:rsidRDefault="00C216E8" w:rsidP="00535F1F">
            <w:pPr>
              <w:jc w:val="center"/>
              <w:rPr>
                <w:sz w:val="22"/>
                <w:szCs w:val="22"/>
              </w:rPr>
            </w:pPr>
            <w:r w:rsidRPr="006535DF">
              <w:rPr>
                <w:sz w:val="22"/>
                <w:szCs w:val="22"/>
              </w:rPr>
              <w:t>1.</w:t>
            </w:r>
          </w:p>
        </w:tc>
        <w:tc>
          <w:tcPr>
            <w:tcW w:w="4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A9AB5C" w14:textId="2B21048B" w:rsidR="00C216E8" w:rsidRPr="006535DF" w:rsidRDefault="00E6364E" w:rsidP="00535F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EMITENTNING</w:t>
            </w:r>
            <w:r w:rsidR="00C216E8" w:rsidRPr="006535D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NOMI</w:t>
            </w:r>
          </w:p>
        </w:tc>
      </w:tr>
      <w:tr w:rsidR="00B243D5" w:rsidRPr="006535DF" w14:paraId="0C2ED176" w14:textId="77777777" w:rsidTr="00E53DD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72DF" w14:textId="77777777" w:rsidR="00EE3A88" w:rsidRPr="006535DF" w:rsidRDefault="00EE3A88" w:rsidP="00535F1F">
            <w:pPr>
              <w:rPr>
                <w:sz w:val="22"/>
                <w:szCs w:val="22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AF8CFC" w14:textId="7B578DEA" w:rsidR="00EE3A88" w:rsidRPr="006535DF" w:rsidRDefault="00E6364E" w:rsidP="00535F1F">
            <w:pPr>
              <w:ind w:firstLine="4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To‘liq</w:t>
            </w:r>
            <w:proofErr w:type="spellEnd"/>
            <w:r w:rsidR="00EE3A88" w:rsidRPr="006535DF">
              <w:rPr>
                <w:sz w:val="22"/>
                <w:szCs w:val="22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06D52" w14:textId="7F6899A7" w:rsidR="00EE3A88" w:rsidRPr="006535DF" w:rsidRDefault="007D5F25" w:rsidP="00535F1F">
            <w:pPr>
              <w:ind w:firstLine="44"/>
              <w:rPr>
                <w:sz w:val="22"/>
                <w:szCs w:val="22"/>
              </w:rPr>
            </w:pPr>
            <w:r w:rsidRPr="006535DF">
              <w:rPr>
                <w:sz w:val="22"/>
                <w:szCs w:val="22"/>
                <w:lang w:val="uz-Cyrl-UZ"/>
              </w:rPr>
              <w:t>“</w:t>
            </w:r>
            <w:proofErr w:type="spellStart"/>
            <w:r w:rsidR="0028501A" w:rsidRPr="006535DF">
              <w:rPr>
                <w:sz w:val="22"/>
                <w:szCs w:val="22"/>
                <w:lang w:val="en-US"/>
              </w:rPr>
              <w:t>UzGasTrade</w:t>
            </w:r>
            <w:proofErr w:type="spellEnd"/>
            <w:r w:rsidRPr="006535DF">
              <w:rPr>
                <w:sz w:val="22"/>
                <w:szCs w:val="22"/>
                <w:lang w:val="uz-Cyrl-UZ"/>
              </w:rPr>
              <w:t>”</w:t>
            </w:r>
            <w:r w:rsidR="00EE3A88" w:rsidRPr="006535DF">
              <w:rPr>
                <w:sz w:val="22"/>
                <w:szCs w:val="22"/>
              </w:rPr>
              <w:t xml:space="preserve"> </w:t>
            </w:r>
            <w:proofErr w:type="spellStart"/>
            <w:r w:rsidR="00E6364E">
              <w:rPr>
                <w:sz w:val="22"/>
                <w:szCs w:val="22"/>
              </w:rPr>
              <w:t>Aksiyadorlik</w:t>
            </w:r>
            <w:proofErr w:type="spellEnd"/>
            <w:r w:rsidR="00EE3A88" w:rsidRPr="006535DF">
              <w:rPr>
                <w:sz w:val="22"/>
                <w:szCs w:val="22"/>
              </w:rPr>
              <w:t xml:space="preserve"> </w:t>
            </w:r>
            <w:proofErr w:type="spellStart"/>
            <w:r w:rsidR="00E6364E">
              <w:rPr>
                <w:sz w:val="22"/>
                <w:szCs w:val="22"/>
              </w:rPr>
              <w:t>jamiyati</w:t>
            </w:r>
            <w:proofErr w:type="spellEnd"/>
          </w:p>
        </w:tc>
      </w:tr>
      <w:tr w:rsidR="00B243D5" w:rsidRPr="006535DF" w14:paraId="0FADD598" w14:textId="77777777" w:rsidTr="00E53DD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A34" w14:textId="77777777" w:rsidR="00EE3A88" w:rsidRPr="006535DF" w:rsidRDefault="00EE3A88" w:rsidP="00535F1F">
            <w:pPr>
              <w:rPr>
                <w:sz w:val="22"/>
                <w:szCs w:val="22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5F81E4" w14:textId="7DFDCEFE" w:rsidR="00EE3A88" w:rsidRPr="006535DF" w:rsidRDefault="00E6364E" w:rsidP="00535F1F">
            <w:pPr>
              <w:ind w:firstLine="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Qisqartirilgan</w:t>
            </w:r>
            <w:proofErr w:type="spellEnd"/>
            <w:r w:rsidR="00EE3A88" w:rsidRPr="006535DF">
              <w:rPr>
                <w:sz w:val="22"/>
                <w:szCs w:val="22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CB31" w14:textId="5BEE105D" w:rsidR="00EE3A88" w:rsidRPr="006535DF" w:rsidRDefault="007D5F25" w:rsidP="00535F1F">
            <w:pPr>
              <w:ind w:firstLine="45"/>
              <w:rPr>
                <w:sz w:val="22"/>
                <w:szCs w:val="22"/>
              </w:rPr>
            </w:pPr>
            <w:r w:rsidRPr="006535DF">
              <w:rPr>
                <w:sz w:val="22"/>
                <w:szCs w:val="22"/>
                <w:lang w:val="uz-Cyrl-UZ"/>
              </w:rPr>
              <w:t>“</w:t>
            </w:r>
            <w:proofErr w:type="spellStart"/>
            <w:r w:rsidR="0028501A" w:rsidRPr="006535DF">
              <w:rPr>
                <w:sz w:val="22"/>
                <w:szCs w:val="22"/>
                <w:lang w:val="en-US"/>
              </w:rPr>
              <w:t>UzGasTrade</w:t>
            </w:r>
            <w:proofErr w:type="spellEnd"/>
            <w:r w:rsidRPr="006535DF">
              <w:rPr>
                <w:sz w:val="22"/>
                <w:szCs w:val="22"/>
                <w:lang w:val="uz-Cyrl-UZ"/>
              </w:rPr>
              <w:t>”</w:t>
            </w:r>
            <w:r w:rsidR="00EE3A88" w:rsidRPr="006535DF">
              <w:rPr>
                <w:sz w:val="22"/>
                <w:szCs w:val="22"/>
              </w:rPr>
              <w:t xml:space="preserve"> </w:t>
            </w:r>
            <w:r w:rsidR="00E6364E">
              <w:rPr>
                <w:sz w:val="22"/>
                <w:szCs w:val="22"/>
              </w:rPr>
              <w:t>AJ</w:t>
            </w:r>
          </w:p>
        </w:tc>
      </w:tr>
      <w:tr w:rsidR="00B243D5" w:rsidRPr="006535DF" w14:paraId="56D80C61" w14:textId="77777777" w:rsidTr="00E53DD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E3F0" w14:textId="77777777" w:rsidR="00EE3A88" w:rsidRPr="006535DF" w:rsidRDefault="00EE3A88" w:rsidP="00535F1F">
            <w:pPr>
              <w:rPr>
                <w:sz w:val="22"/>
                <w:szCs w:val="22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203F1C" w14:textId="2C6C406A" w:rsidR="00EE3A88" w:rsidRPr="006535DF" w:rsidRDefault="00E6364E" w:rsidP="00535F1F">
            <w:pPr>
              <w:ind w:firstLine="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Birja</w:t>
            </w:r>
            <w:proofErr w:type="spellEnd"/>
            <w:r w:rsidR="00EE3A88" w:rsidRPr="006535D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tikerining</w:t>
            </w:r>
            <w:proofErr w:type="spellEnd"/>
            <w:r w:rsidR="00EE3A88" w:rsidRPr="006535D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nomi</w:t>
            </w:r>
            <w:proofErr w:type="spellEnd"/>
            <w:r w:rsidR="00EE3A88" w:rsidRPr="006535DF">
              <w:rPr>
                <w:sz w:val="22"/>
                <w:szCs w:val="22"/>
              </w:rPr>
              <w:t>:</w:t>
            </w:r>
            <w:hyperlink r:id="rId5" w:history="1">
              <w:r w:rsidR="00EE3A88" w:rsidRPr="006535DF">
                <w:rPr>
                  <w:sz w:val="22"/>
                  <w:szCs w:val="22"/>
                </w:rPr>
                <w:t>*</w:t>
              </w:r>
            </w:hyperlink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1F59A" w14:textId="275796EC" w:rsidR="00EE3A88" w:rsidRPr="006535DF" w:rsidRDefault="00E6364E" w:rsidP="00535F1F">
            <w:pPr>
              <w:ind w:firstLine="45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Mavjud</w:t>
            </w:r>
            <w:proofErr w:type="spellEnd"/>
            <w:r w:rsidR="00EE3A88" w:rsidRPr="006535D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emas</w:t>
            </w:r>
            <w:proofErr w:type="spellEnd"/>
          </w:p>
        </w:tc>
      </w:tr>
      <w:tr w:rsidR="00B243D5" w:rsidRPr="006535DF" w14:paraId="0D5CAD9F" w14:textId="77777777" w:rsidTr="00E53DD3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95FD39C" w14:textId="77777777" w:rsidR="00C216E8" w:rsidRPr="006535DF" w:rsidRDefault="00C216E8" w:rsidP="00535F1F">
            <w:pPr>
              <w:jc w:val="center"/>
              <w:rPr>
                <w:sz w:val="22"/>
                <w:szCs w:val="22"/>
              </w:rPr>
            </w:pPr>
            <w:r w:rsidRPr="006535DF">
              <w:rPr>
                <w:sz w:val="22"/>
                <w:szCs w:val="22"/>
              </w:rPr>
              <w:t>2.</w:t>
            </w:r>
          </w:p>
        </w:tc>
        <w:tc>
          <w:tcPr>
            <w:tcW w:w="4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45D081" w14:textId="119C3A4F" w:rsidR="00C216E8" w:rsidRPr="006535DF" w:rsidRDefault="00E6364E" w:rsidP="00535F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ALOQA</w:t>
            </w:r>
            <w:r w:rsidR="00C216E8" w:rsidRPr="006535D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MA’LUMOTLARI</w:t>
            </w:r>
          </w:p>
        </w:tc>
      </w:tr>
      <w:tr w:rsidR="00B243D5" w:rsidRPr="00E53DD3" w14:paraId="03069B86" w14:textId="77777777" w:rsidTr="00E53DD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6E8D" w14:textId="77777777" w:rsidR="00EE3A88" w:rsidRPr="006535DF" w:rsidRDefault="00EE3A88" w:rsidP="00535F1F">
            <w:pPr>
              <w:rPr>
                <w:sz w:val="22"/>
                <w:szCs w:val="22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06DD21" w14:textId="78B30C4B" w:rsidR="00EE3A88" w:rsidRPr="006535DF" w:rsidRDefault="00E6364E" w:rsidP="00535F1F">
            <w:pPr>
              <w:ind w:firstLine="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Joylashgan</w:t>
            </w:r>
            <w:proofErr w:type="spellEnd"/>
            <w:r w:rsidR="00EE3A88" w:rsidRPr="006535D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yeri</w:t>
            </w:r>
            <w:proofErr w:type="spellEnd"/>
            <w:r w:rsidR="00EE3A88" w:rsidRPr="006535DF">
              <w:rPr>
                <w:sz w:val="22"/>
                <w:szCs w:val="22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E26E3" w14:textId="520F7CC9" w:rsidR="00EE3A88" w:rsidRPr="00E6364E" w:rsidRDefault="00E6364E" w:rsidP="00535F1F">
            <w:pPr>
              <w:ind w:firstLine="45"/>
              <w:rPr>
                <w:sz w:val="22"/>
                <w:szCs w:val="22"/>
                <w:lang w:val="en-US"/>
              </w:rPr>
            </w:pPr>
            <w:r w:rsidRPr="00E6364E">
              <w:rPr>
                <w:sz w:val="22"/>
                <w:szCs w:val="22"/>
                <w:lang w:val="en-US"/>
              </w:rPr>
              <w:t>Toshkent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shahri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, </w:t>
            </w:r>
            <w:r w:rsidRPr="00E6364E">
              <w:rPr>
                <w:sz w:val="22"/>
                <w:szCs w:val="22"/>
                <w:lang w:val="en-US"/>
              </w:rPr>
              <w:t>Mirzo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Ulug‘bek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tumani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, </w:t>
            </w:r>
            <w:r w:rsidRPr="00E6364E">
              <w:rPr>
                <w:sz w:val="22"/>
                <w:szCs w:val="22"/>
                <w:lang w:val="en-US"/>
              </w:rPr>
              <w:t>Mirzo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Ulug‘bek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ko‘chasi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 32</w:t>
            </w:r>
            <w:r w:rsidRPr="00E6364E">
              <w:rPr>
                <w:sz w:val="22"/>
                <w:szCs w:val="22"/>
                <w:lang w:val="en-US"/>
              </w:rPr>
              <w:t>a</w:t>
            </w:r>
          </w:p>
        </w:tc>
      </w:tr>
      <w:tr w:rsidR="00B243D5" w:rsidRPr="00E53DD3" w14:paraId="7F906204" w14:textId="77777777" w:rsidTr="00E53DD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1AFA" w14:textId="77777777" w:rsidR="00EE3A88" w:rsidRPr="00E6364E" w:rsidRDefault="00EE3A88" w:rsidP="00535F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DCC49C" w14:textId="0D151618" w:rsidR="00EE3A88" w:rsidRPr="006535DF" w:rsidRDefault="00E6364E" w:rsidP="00535F1F">
            <w:pPr>
              <w:ind w:firstLine="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Pochta</w:t>
            </w:r>
            <w:proofErr w:type="spellEnd"/>
            <w:r w:rsidR="00EE3A88" w:rsidRPr="006535D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manzili</w:t>
            </w:r>
            <w:proofErr w:type="spellEnd"/>
            <w:r w:rsidR="00EE3A88" w:rsidRPr="006535DF">
              <w:rPr>
                <w:sz w:val="22"/>
                <w:szCs w:val="22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F72B4" w14:textId="3F1F91A0" w:rsidR="00EE3A88" w:rsidRPr="00E6364E" w:rsidRDefault="00EE3A88" w:rsidP="00535F1F">
            <w:pPr>
              <w:ind w:firstLine="45"/>
              <w:rPr>
                <w:sz w:val="22"/>
                <w:szCs w:val="22"/>
                <w:lang w:val="en-US"/>
              </w:rPr>
            </w:pPr>
            <w:r w:rsidRPr="00E6364E">
              <w:rPr>
                <w:sz w:val="22"/>
                <w:szCs w:val="22"/>
                <w:lang w:val="en-US"/>
              </w:rPr>
              <w:t>10000</w:t>
            </w:r>
            <w:r w:rsidR="006535DF" w:rsidRPr="006535DF">
              <w:rPr>
                <w:sz w:val="22"/>
                <w:szCs w:val="22"/>
                <w:lang w:val="uz-Cyrl-UZ"/>
              </w:rPr>
              <w:t>7</w:t>
            </w:r>
            <w:r w:rsidRPr="00E6364E">
              <w:rPr>
                <w:sz w:val="22"/>
                <w:szCs w:val="22"/>
                <w:lang w:val="en-US"/>
              </w:rPr>
              <w:t xml:space="preserve">, </w:t>
            </w:r>
            <w:r w:rsidR="00E6364E" w:rsidRPr="00E6364E">
              <w:rPr>
                <w:sz w:val="22"/>
                <w:szCs w:val="22"/>
                <w:lang w:val="en-US"/>
              </w:rPr>
              <w:t>Toshkent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 </w:t>
            </w:r>
            <w:r w:rsidR="00E6364E" w:rsidRPr="00E6364E">
              <w:rPr>
                <w:sz w:val="22"/>
                <w:szCs w:val="22"/>
                <w:lang w:val="en-US"/>
              </w:rPr>
              <w:t>shahri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, </w:t>
            </w:r>
            <w:r w:rsidR="00E6364E" w:rsidRPr="00E6364E">
              <w:rPr>
                <w:sz w:val="22"/>
                <w:szCs w:val="22"/>
                <w:lang w:val="en-US"/>
              </w:rPr>
              <w:t>Mirzo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E6364E" w:rsidRPr="00E6364E">
              <w:rPr>
                <w:sz w:val="22"/>
                <w:szCs w:val="22"/>
                <w:lang w:val="en-US"/>
              </w:rPr>
              <w:t>Ulug‘</w:t>
            </w:r>
            <w:proofErr w:type="gramEnd"/>
            <w:r w:rsidR="00E6364E" w:rsidRPr="00E6364E">
              <w:rPr>
                <w:sz w:val="22"/>
                <w:szCs w:val="22"/>
                <w:lang w:val="en-US"/>
              </w:rPr>
              <w:t>bek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 </w:t>
            </w:r>
            <w:r w:rsidR="00E6364E" w:rsidRPr="00E6364E">
              <w:rPr>
                <w:sz w:val="22"/>
                <w:szCs w:val="22"/>
                <w:lang w:val="en-US"/>
              </w:rPr>
              <w:t>tumani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, </w:t>
            </w:r>
            <w:r w:rsidR="00E6364E" w:rsidRPr="00E6364E">
              <w:rPr>
                <w:sz w:val="22"/>
                <w:szCs w:val="22"/>
                <w:lang w:val="en-US"/>
              </w:rPr>
              <w:t>Mirzo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 </w:t>
            </w:r>
            <w:r w:rsidR="00E6364E" w:rsidRPr="00E6364E">
              <w:rPr>
                <w:sz w:val="22"/>
                <w:szCs w:val="22"/>
                <w:lang w:val="en-US"/>
              </w:rPr>
              <w:t>Ulug‘bek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 </w:t>
            </w:r>
            <w:r w:rsidR="00E6364E" w:rsidRPr="00E6364E">
              <w:rPr>
                <w:sz w:val="22"/>
                <w:szCs w:val="22"/>
                <w:lang w:val="en-US"/>
              </w:rPr>
              <w:t>ko‘chasi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 32</w:t>
            </w:r>
            <w:r w:rsidR="00E6364E" w:rsidRPr="00E6364E">
              <w:rPr>
                <w:sz w:val="22"/>
                <w:szCs w:val="22"/>
                <w:lang w:val="en-US"/>
              </w:rPr>
              <w:t>a</w:t>
            </w:r>
          </w:p>
        </w:tc>
      </w:tr>
      <w:tr w:rsidR="00B243D5" w:rsidRPr="006535DF" w14:paraId="3F5C84EF" w14:textId="77777777" w:rsidTr="00E53DD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329B" w14:textId="77777777" w:rsidR="00EE3A88" w:rsidRPr="00E6364E" w:rsidRDefault="00EE3A88" w:rsidP="00535F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5B4796" w14:textId="5F208214" w:rsidR="00EE3A88" w:rsidRPr="006535DF" w:rsidRDefault="00E6364E" w:rsidP="00535F1F">
            <w:pPr>
              <w:ind w:firstLine="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Elektron</w:t>
            </w:r>
            <w:proofErr w:type="spellEnd"/>
            <w:r w:rsidR="00EE3A88" w:rsidRPr="006535D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pochta</w:t>
            </w:r>
            <w:proofErr w:type="spellEnd"/>
            <w:r w:rsidR="00EE3A88" w:rsidRPr="006535D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manzili</w:t>
            </w:r>
            <w:proofErr w:type="spellEnd"/>
            <w:r w:rsidR="00EE3A88" w:rsidRPr="006535DF">
              <w:rPr>
                <w:sz w:val="22"/>
                <w:szCs w:val="22"/>
              </w:rPr>
              <w:t>:</w:t>
            </w:r>
            <w:hyperlink r:id="rId6" w:history="1">
              <w:r w:rsidR="00EE3A88" w:rsidRPr="006535DF">
                <w:rPr>
                  <w:sz w:val="22"/>
                  <w:szCs w:val="22"/>
                </w:rPr>
                <w:t>*</w:t>
              </w:r>
            </w:hyperlink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392F" w14:textId="038A5CBC" w:rsidR="00EE3A88" w:rsidRPr="006535DF" w:rsidRDefault="0028501A" w:rsidP="00535F1F">
            <w:pPr>
              <w:ind w:firstLine="45"/>
              <w:rPr>
                <w:sz w:val="22"/>
                <w:szCs w:val="22"/>
              </w:rPr>
            </w:pPr>
            <w:r w:rsidRPr="006535DF">
              <w:rPr>
                <w:sz w:val="22"/>
                <w:szCs w:val="22"/>
                <w:lang w:val="en-US"/>
              </w:rPr>
              <w:t>info</w:t>
            </w:r>
            <w:r w:rsidR="00EE3A88" w:rsidRPr="006535DF">
              <w:rPr>
                <w:sz w:val="22"/>
                <w:szCs w:val="22"/>
              </w:rPr>
              <w:t>@</w:t>
            </w:r>
            <w:proofErr w:type="spellStart"/>
            <w:r w:rsidRPr="006535DF">
              <w:rPr>
                <w:sz w:val="22"/>
                <w:szCs w:val="22"/>
                <w:lang w:val="en-US"/>
              </w:rPr>
              <w:t>uzgastrade</w:t>
            </w:r>
            <w:proofErr w:type="spellEnd"/>
            <w:r w:rsidRPr="006535DF">
              <w:rPr>
                <w:sz w:val="22"/>
                <w:szCs w:val="22"/>
              </w:rPr>
              <w:t>.</w:t>
            </w:r>
            <w:proofErr w:type="spellStart"/>
            <w:r w:rsidRPr="006535DF">
              <w:rPr>
                <w:sz w:val="22"/>
                <w:szCs w:val="22"/>
                <w:lang w:val="en-US"/>
              </w:rPr>
              <w:t>uz</w:t>
            </w:r>
            <w:proofErr w:type="spellEnd"/>
          </w:p>
        </w:tc>
      </w:tr>
      <w:tr w:rsidR="00B243D5" w:rsidRPr="006535DF" w14:paraId="7F2F8D6A" w14:textId="77777777" w:rsidTr="00E53DD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9BE4" w14:textId="77777777" w:rsidR="00EE3A88" w:rsidRPr="006535DF" w:rsidRDefault="00EE3A88" w:rsidP="00535F1F">
            <w:pPr>
              <w:rPr>
                <w:sz w:val="22"/>
                <w:szCs w:val="22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BD5637" w14:textId="337E2F96" w:rsidR="00EE3A88" w:rsidRPr="006535DF" w:rsidRDefault="00E6364E" w:rsidP="00535F1F">
            <w:pPr>
              <w:ind w:firstLine="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Rasmiy</w:t>
            </w:r>
            <w:proofErr w:type="spellEnd"/>
            <w:r w:rsidR="00EE3A88" w:rsidRPr="006535D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veb</w:t>
            </w:r>
            <w:r w:rsidR="00EE3A88" w:rsidRPr="006535D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sayti</w:t>
            </w:r>
            <w:proofErr w:type="spellEnd"/>
            <w:r w:rsidR="00EE3A88" w:rsidRPr="006535DF">
              <w:rPr>
                <w:sz w:val="22"/>
                <w:szCs w:val="22"/>
              </w:rPr>
              <w:t>:</w:t>
            </w:r>
            <w:hyperlink r:id="rId7" w:history="1">
              <w:r w:rsidR="00EE3A88" w:rsidRPr="006535DF">
                <w:rPr>
                  <w:sz w:val="22"/>
                  <w:szCs w:val="22"/>
                </w:rPr>
                <w:t>*</w:t>
              </w:r>
            </w:hyperlink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15466" w14:textId="7C3E44ED" w:rsidR="00EE3A88" w:rsidRPr="006535DF" w:rsidRDefault="00EE3A88" w:rsidP="00535F1F">
            <w:pPr>
              <w:ind w:firstLine="45"/>
              <w:rPr>
                <w:sz w:val="22"/>
                <w:szCs w:val="22"/>
              </w:rPr>
            </w:pPr>
            <w:proofErr w:type="spellStart"/>
            <w:r w:rsidRPr="006535DF">
              <w:rPr>
                <w:sz w:val="22"/>
                <w:szCs w:val="22"/>
              </w:rPr>
              <w:t>www</w:t>
            </w:r>
            <w:proofErr w:type="spellEnd"/>
            <w:r w:rsidRPr="006535DF">
              <w:rPr>
                <w:sz w:val="22"/>
                <w:szCs w:val="22"/>
              </w:rPr>
              <w:t>.</w:t>
            </w:r>
            <w:proofErr w:type="spellStart"/>
            <w:r w:rsidR="0028501A" w:rsidRPr="006535DF">
              <w:rPr>
                <w:sz w:val="22"/>
                <w:szCs w:val="22"/>
                <w:lang w:val="en-US"/>
              </w:rPr>
              <w:t>uzgastrade</w:t>
            </w:r>
            <w:proofErr w:type="spellEnd"/>
            <w:r w:rsidRPr="006535DF">
              <w:rPr>
                <w:sz w:val="22"/>
                <w:szCs w:val="22"/>
              </w:rPr>
              <w:t>.</w:t>
            </w:r>
            <w:proofErr w:type="spellStart"/>
            <w:r w:rsidR="0028501A" w:rsidRPr="006535DF">
              <w:rPr>
                <w:sz w:val="22"/>
                <w:szCs w:val="22"/>
                <w:lang w:val="en-US"/>
              </w:rPr>
              <w:t>uz</w:t>
            </w:r>
            <w:proofErr w:type="spellEnd"/>
          </w:p>
        </w:tc>
      </w:tr>
      <w:tr w:rsidR="00B243D5" w:rsidRPr="00E53DD3" w14:paraId="75E8A0DF" w14:textId="77777777" w:rsidTr="00E53DD3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8110A49" w14:textId="77777777" w:rsidR="00C216E8" w:rsidRPr="006535DF" w:rsidRDefault="00C216E8" w:rsidP="00535F1F">
            <w:pPr>
              <w:jc w:val="center"/>
              <w:rPr>
                <w:sz w:val="22"/>
                <w:szCs w:val="22"/>
              </w:rPr>
            </w:pPr>
            <w:r w:rsidRPr="006535DF">
              <w:rPr>
                <w:sz w:val="22"/>
                <w:szCs w:val="22"/>
              </w:rPr>
              <w:t>3.</w:t>
            </w:r>
          </w:p>
          <w:p w14:paraId="5E511CD5" w14:textId="28C77CF2" w:rsidR="00A94A2E" w:rsidRPr="006535DF" w:rsidRDefault="00A94A2E" w:rsidP="00535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CC04FF" w14:textId="78A6B8D6" w:rsidR="00C216E8" w:rsidRPr="00E6364E" w:rsidRDefault="00E6364E" w:rsidP="00535F1F">
            <w:pPr>
              <w:jc w:val="center"/>
              <w:rPr>
                <w:sz w:val="22"/>
                <w:szCs w:val="22"/>
                <w:lang w:val="en-US"/>
              </w:rPr>
            </w:pPr>
            <w:r w:rsidRPr="00E6364E">
              <w:rPr>
                <w:b/>
                <w:bCs/>
                <w:sz w:val="22"/>
                <w:szCs w:val="22"/>
                <w:lang w:val="en-US"/>
              </w:rPr>
              <w:t>MUHIM</w:t>
            </w:r>
            <w:r w:rsidR="00C216E8" w:rsidRPr="00E6364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b/>
                <w:bCs/>
                <w:sz w:val="22"/>
                <w:szCs w:val="22"/>
                <w:lang w:val="en-US"/>
              </w:rPr>
              <w:t>FAKT</w:t>
            </w:r>
            <w:r w:rsidR="00C216E8" w:rsidRPr="00E6364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b/>
                <w:bCs/>
                <w:sz w:val="22"/>
                <w:szCs w:val="22"/>
                <w:lang w:val="en-US"/>
              </w:rPr>
              <w:t>TO‘G‘RISIDA</w:t>
            </w:r>
            <w:r w:rsidR="00C216E8" w:rsidRPr="00E6364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b/>
                <w:bCs/>
                <w:sz w:val="22"/>
                <w:szCs w:val="22"/>
                <w:lang w:val="en-US"/>
              </w:rPr>
              <w:t>AXBOROT</w:t>
            </w:r>
          </w:p>
        </w:tc>
      </w:tr>
      <w:tr w:rsidR="00B243D5" w:rsidRPr="006535DF" w14:paraId="6B1DAEE8" w14:textId="77777777" w:rsidTr="00E53DD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7CF9" w14:textId="77777777" w:rsidR="00EE3A88" w:rsidRPr="00E6364E" w:rsidRDefault="00EE3A88" w:rsidP="00535F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77674D" w14:textId="4081E0F1" w:rsidR="00EE3A88" w:rsidRPr="006535DF" w:rsidRDefault="00E6364E" w:rsidP="00535F1F">
            <w:pPr>
              <w:ind w:firstLine="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Muhim</w:t>
            </w:r>
            <w:proofErr w:type="spellEnd"/>
            <w:r w:rsidR="00EE3A88" w:rsidRPr="006535D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faktning</w:t>
            </w:r>
            <w:proofErr w:type="spellEnd"/>
            <w:r w:rsidR="00EE3A88" w:rsidRPr="006535D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raqami</w:t>
            </w:r>
            <w:proofErr w:type="spellEnd"/>
            <w:r w:rsidR="00EE3A88" w:rsidRPr="006535DF">
              <w:rPr>
                <w:sz w:val="22"/>
                <w:szCs w:val="22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2BEC8" w14:textId="52FD042D" w:rsidR="00EE3A88" w:rsidRPr="006535DF" w:rsidRDefault="00EE3A88" w:rsidP="00535F1F">
            <w:pPr>
              <w:rPr>
                <w:sz w:val="22"/>
                <w:szCs w:val="22"/>
              </w:rPr>
            </w:pPr>
            <w:r w:rsidRPr="006535DF">
              <w:rPr>
                <w:sz w:val="22"/>
                <w:szCs w:val="22"/>
              </w:rPr>
              <w:t>06</w:t>
            </w:r>
          </w:p>
        </w:tc>
      </w:tr>
      <w:tr w:rsidR="00B243D5" w:rsidRPr="00E53DD3" w14:paraId="5CC38759" w14:textId="77777777" w:rsidTr="00E53DD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F995" w14:textId="77777777" w:rsidR="00EE3A88" w:rsidRPr="006535DF" w:rsidRDefault="00EE3A88" w:rsidP="00535F1F">
            <w:pPr>
              <w:rPr>
                <w:sz w:val="22"/>
                <w:szCs w:val="22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32BA58" w14:textId="68B78B32" w:rsidR="00EE3A88" w:rsidRPr="006535DF" w:rsidRDefault="00E6364E" w:rsidP="00535F1F">
            <w:pPr>
              <w:ind w:firstLine="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Muhim</w:t>
            </w:r>
            <w:proofErr w:type="spellEnd"/>
            <w:r w:rsidR="00EE3A88" w:rsidRPr="006535D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faktning</w:t>
            </w:r>
            <w:proofErr w:type="spellEnd"/>
            <w:r w:rsidR="00EE3A88" w:rsidRPr="006535D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nomi</w:t>
            </w:r>
            <w:proofErr w:type="spellEnd"/>
            <w:r w:rsidR="00EE3A88" w:rsidRPr="006535DF">
              <w:rPr>
                <w:sz w:val="22"/>
                <w:szCs w:val="22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3AD7D" w14:textId="621B00FD" w:rsidR="00EE3A88" w:rsidRPr="00E6364E" w:rsidRDefault="00E6364E" w:rsidP="00535F1F">
            <w:pPr>
              <w:rPr>
                <w:sz w:val="22"/>
                <w:szCs w:val="22"/>
                <w:lang w:val="en-US"/>
              </w:rPr>
            </w:pPr>
            <w:r w:rsidRPr="00E6364E">
              <w:rPr>
                <w:sz w:val="22"/>
                <w:szCs w:val="22"/>
                <w:lang w:val="en-US"/>
              </w:rPr>
              <w:t>Emitentning</w:t>
            </w:r>
            <w:r w:rsidR="00EE3A88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yuqori</w:t>
            </w:r>
            <w:r w:rsidR="00EE3A88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boshqaruv</w:t>
            </w:r>
            <w:r w:rsidR="00EE3A88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organi</w:t>
            </w:r>
            <w:r w:rsidR="00EE3A88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tomonidan</w:t>
            </w:r>
            <w:r w:rsidR="00EE3A88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qabul</w:t>
            </w:r>
            <w:r w:rsidR="00EE3A88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qilingan</w:t>
            </w:r>
            <w:r w:rsidR="00EE3A88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qarorlar</w:t>
            </w:r>
          </w:p>
        </w:tc>
      </w:tr>
      <w:tr w:rsidR="00B243D5" w:rsidRPr="00E53DD3" w14:paraId="184F85F8" w14:textId="77777777" w:rsidTr="00E53DD3">
        <w:trPr>
          <w:trHeight w:val="197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53BF" w14:textId="77777777" w:rsidR="00EE3A88" w:rsidRPr="00E6364E" w:rsidRDefault="00EE3A88" w:rsidP="00535F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95AE3D" w14:textId="2B00D1D3" w:rsidR="00EE3A88" w:rsidRPr="006535DF" w:rsidRDefault="00E6364E" w:rsidP="00535F1F">
            <w:pPr>
              <w:ind w:firstLine="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Umumiy</w:t>
            </w:r>
            <w:proofErr w:type="spellEnd"/>
            <w:r w:rsidR="00EE3A88" w:rsidRPr="006535D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yig‘ilish</w:t>
            </w:r>
            <w:proofErr w:type="spellEnd"/>
            <w:r w:rsidR="00EE3A88" w:rsidRPr="006535D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turi</w:t>
            </w:r>
            <w:proofErr w:type="spellEnd"/>
            <w:r w:rsidR="00EE3A88" w:rsidRPr="006535DF">
              <w:rPr>
                <w:sz w:val="22"/>
                <w:szCs w:val="22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A2A8E" w14:textId="5F9E34BD" w:rsidR="00EE3A88" w:rsidRPr="006535DF" w:rsidRDefault="00E6364E" w:rsidP="00535F1F">
            <w:pPr>
              <w:rPr>
                <w:sz w:val="22"/>
                <w:szCs w:val="22"/>
                <w:lang w:val="uz-Cyrl-UZ"/>
              </w:rPr>
            </w:pPr>
            <w:r w:rsidRPr="00E6364E">
              <w:rPr>
                <w:b/>
                <w:bCs/>
                <w:sz w:val="22"/>
                <w:szCs w:val="22"/>
                <w:lang w:val="en-US"/>
              </w:rPr>
              <w:t>Navbatdan</w:t>
            </w:r>
            <w:r w:rsidR="00EE3A88" w:rsidRPr="00E6364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b/>
                <w:bCs/>
                <w:sz w:val="22"/>
                <w:szCs w:val="22"/>
                <w:lang w:val="en-US"/>
              </w:rPr>
              <w:t>tashqari</w:t>
            </w:r>
            <w:r w:rsidR="00EE3A88" w:rsidRPr="006535D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umumiy</w:t>
            </w:r>
            <w:r w:rsidR="00EE3A88" w:rsidRPr="006535DF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  <w:lang w:val="uz-Cyrl-UZ"/>
              </w:rPr>
              <w:t>yig‘</w:t>
            </w:r>
            <w:proofErr w:type="gramEnd"/>
            <w:r>
              <w:rPr>
                <w:b/>
                <w:bCs/>
                <w:sz w:val="22"/>
                <w:szCs w:val="22"/>
                <w:lang w:val="uz-Cyrl-UZ"/>
              </w:rPr>
              <w:t>ilish</w:t>
            </w:r>
          </w:p>
        </w:tc>
      </w:tr>
      <w:tr w:rsidR="00B243D5" w:rsidRPr="006535DF" w14:paraId="5DABEC24" w14:textId="77777777" w:rsidTr="00E53DD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68A7" w14:textId="77777777" w:rsidR="00EE3A88" w:rsidRPr="00E6364E" w:rsidRDefault="00EE3A88" w:rsidP="00535F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A1BEFD" w14:textId="443A2D83" w:rsidR="00EE3A88" w:rsidRPr="00E6364E" w:rsidRDefault="00E6364E" w:rsidP="00535F1F">
            <w:pPr>
              <w:ind w:firstLine="45"/>
              <w:rPr>
                <w:sz w:val="22"/>
                <w:szCs w:val="22"/>
                <w:lang w:val="en-US"/>
              </w:rPr>
            </w:pPr>
            <w:r w:rsidRPr="00E6364E">
              <w:rPr>
                <w:sz w:val="22"/>
                <w:szCs w:val="22"/>
                <w:lang w:val="en-US"/>
              </w:rPr>
              <w:t>Umumiy</w:t>
            </w:r>
            <w:r w:rsidR="00EE3A88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yig‘ilish</w:t>
            </w:r>
            <w:r w:rsidR="00EE3A88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o‘tkazish</w:t>
            </w:r>
            <w:r w:rsidR="00EE3A88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sanasi</w:t>
            </w:r>
            <w:r w:rsidR="00EE3A88" w:rsidRPr="00E6364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AE1A" w14:textId="6B800355" w:rsidR="00EE3A88" w:rsidRPr="006535DF" w:rsidRDefault="007960CA" w:rsidP="00535F1F">
            <w:pPr>
              <w:ind w:firstLine="45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</w:rPr>
              <w:t>19</w:t>
            </w:r>
            <w:r w:rsidR="00EE3A88" w:rsidRPr="006535D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8</w:t>
            </w:r>
            <w:r w:rsidR="00EE3A88" w:rsidRPr="006535DF">
              <w:rPr>
                <w:sz w:val="22"/>
                <w:szCs w:val="22"/>
              </w:rPr>
              <w:t>.202</w:t>
            </w:r>
            <w:r w:rsidR="006535DF" w:rsidRPr="006535DF">
              <w:rPr>
                <w:sz w:val="22"/>
                <w:szCs w:val="22"/>
                <w:lang w:val="uz-Cyrl-UZ"/>
              </w:rPr>
              <w:t>4</w:t>
            </w:r>
          </w:p>
        </w:tc>
      </w:tr>
      <w:tr w:rsidR="00B243D5" w:rsidRPr="006535DF" w14:paraId="46614B47" w14:textId="77777777" w:rsidTr="00E53DD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12F9" w14:textId="77777777" w:rsidR="00EE3A88" w:rsidRPr="006535DF" w:rsidRDefault="00EE3A88" w:rsidP="00535F1F">
            <w:pPr>
              <w:rPr>
                <w:sz w:val="22"/>
                <w:szCs w:val="22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D79188" w14:textId="61378471" w:rsidR="00EE3A88" w:rsidRPr="00E6364E" w:rsidRDefault="00E6364E" w:rsidP="00535F1F">
            <w:pPr>
              <w:ind w:firstLine="45"/>
              <w:rPr>
                <w:sz w:val="22"/>
                <w:szCs w:val="22"/>
                <w:lang w:val="en-US"/>
              </w:rPr>
            </w:pPr>
            <w:r w:rsidRPr="00E6364E">
              <w:rPr>
                <w:sz w:val="22"/>
                <w:szCs w:val="22"/>
                <w:lang w:val="en-US"/>
              </w:rPr>
              <w:t>Umumiy</w:t>
            </w:r>
            <w:r w:rsidR="00EE3A88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yig‘ilish</w:t>
            </w:r>
            <w:r w:rsidR="00EE3A88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bayonnomasi</w:t>
            </w:r>
            <w:r w:rsidR="00EE3A88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tuzilgan</w:t>
            </w:r>
            <w:r w:rsidR="00EE3A88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sana</w:t>
            </w:r>
            <w:r w:rsidR="00EE3A88" w:rsidRPr="00E6364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6D54B" w14:textId="711C0CAF" w:rsidR="00EE3A88" w:rsidRPr="006535DF" w:rsidRDefault="007960CA" w:rsidP="00535F1F">
            <w:pPr>
              <w:ind w:firstLine="45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 w:rsidR="00EE3A88" w:rsidRPr="006535D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8</w:t>
            </w:r>
            <w:r w:rsidR="00EE3A88" w:rsidRPr="006535DF">
              <w:rPr>
                <w:sz w:val="22"/>
                <w:szCs w:val="22"/>
              </w:rPr>
              <w:t>.202</w:t>
            </w:r>
            <w:r w:rsidR="006535DF" w:rsidRPr="006535DF">
              <w:rPr>
                <w:sz w:val="22"/>
                <w:szCs w:val="22"/>
                <w:lang w:val="uz-Cyrl-UZ"/>
              </w:rPr>
              <w:t>4</w:t>
            </w:r>
          </w:p>
        </w:tc>
      </w:tr>
      <w:tr w:rsidR="00B243D5" w:rsidRPr="00E53DD3" w14:paraId="6F411C26" w14:textId="77777777" w:rsidTr="00E53DD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C301" w14:textId="77777777" w:rsidR="00EE3A88" w:rsidRPr="006535DF" w:rsidRDefault="00EE3A88" w:rsidP="00535F1F">
            <w:pPr>
              <w:rPr>
                <w:sz w:val="22"/>
                <w:szCs w:val="22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F2B987" w14:textId="2DE9466F" w:rsidR="00EE3A88" w:rsidRPr="00E6364E" w:rsidRDefault="00E6364E" w:rsidP="00535F1F">
            <w:pPr>
              <w:ind w:firstLine="45"/>
              <w:rPr>
                <w:sz w:val="22"/>
                <w:szCs w:val="22"/>
                <w:lang w:val="en-US"/>
              </w:rPr>
            </w:pPr>
            <w:r w:rsidRPr="00E6364E">
              <w:rPr>
                <w:sz w:val="22"/>
                <w:szCs w:val="22"/>
                <w:lang w:val="en-US"/>
              </w:rPr>
              <w:t>Umumiy</w:t>
            </w:r>
            <w:r w:rsidR="00EE3A88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yig‘ilish</w:t>
            </w:r>
            <w:r w:rsidR="00EE3A88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o‘tkazilgan</w:t>
            </w:r>
            <w:r w:rsidR="00EE3A88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joy</w:t>
            </w:r>
            <w:r w:rsidR="00EE3A88" w:rsidRPr="00E6364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46AC7" w14:textId="69EABD1B" w:rsidR="00EE3A88" w:rsidRPr="00E6364E" w:rsidRDefault="00E6364E" w:rsidP="00535F1F">
            <w:pPr>
              <w:ind w:firstLine="45"/>
              <w:rPr>
                <w:sz w:val="22"/>
                <w:szCs w:val="22"/>
                <w:lang w:val="en-US"/>
              </w:rPr>
            </w:pPr>
            <w:r w:rsidRPr="00E6364E">
              <w:rPr>
                <w:sz w:val="22"/>
                <w:szCs w:val="22"/>
                <w:lang w:val="en-US"/>
              </w:rPr>
              <w:t>Toshkent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shahri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, </w:t>
            </w:r>
            <w:r w:rsidRPr="00E6364E">
              <w:rPr>
                <w:sz w:val="22"/>
                <w:szCs w:val="22"/>
                <w:lang w:val="en-US"/>
              </w:rPr>
              <w:t>Mirzo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Ulug‘bek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tumani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, </w:t>
            </w:r>
            <w:r w:rsidRPr="00E6364E">
              <w:rPr>
                <w:sz w:val="22"/>
                <w:szCs w:val="22"/>
                <w:lang w:val="en-US"/>
              </w:rPr>
              <w:t>Mirzo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Ulug‘bek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sz w:val="22"/>
                <w:szCs w:val="22"/>
                <w:lang w:val="en-US"/>
              </w:rPr>
              <w:t>ko‘chasi</w:t>
            </w:r>
            <w:r w:rsidR="006535DF" w:rsidRPr="00E6364E">
              <w:rPr>
                <w:sz w:val="22"/>
                <w:szCs w:val="22"/>
                <w:lang w:val="en-US"/>
              </w:rPr>
              <w:t xml:space="preserve"> 32</w:t>
            </w:r>
            <w:r w:rsidRPr="00E6364E">
              <w:rPr>
                <w:sz w:val="22"/>
                <w:szCs w:val="22"/>
                <w:lang w:val="en-US"/>
              </w:rPr>
              <w:t>a</w:t>
            </w:r>
          </w:p>
        </w:tc>
      </w:tr>
      <w:tr w:rsidR="00B243D5" w:rsidRPr="006535DF" w14:paraId="591D91AE" w14:textId="77777777" w:rsidTr="00E53DD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BF10" w14:textId="77777777" w:rsidR="00EE3A88" w:rsidRPr="00E6364E" w:rsidRDefault="00EE3A88" w:rsidP="00535F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6B99F7" w14:textId="4AA4D6F4" w:rsidR="00EE3A88" w:rsidRPr="006535DF" w:rsidRDefault="00E6364E" w:rsidP="00535F1F">
            <w:pPr>
              <w:ind w:firstLine="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Umumiy</w:t>
            </w:r>
            <w:proofErr w:type="spellEnd"/>
            <w:r w:rsidR="00EE3A88" w:rsidRPr="006535D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yig‘ilish</w:t>
            </w:r>
            <w:proofErr w:type="spellEnd"/>
            <w:r w:rsidR="00EE3A88" w:rsidRPr="006535D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kvorumi</w:t>
            </w:r>
            <w:proofErr w:type="spellEnd"/>
            <w:r w:rsidR="00EE3A88" w:rsidRPr="006535DF">
              <w:rPr>
                <w:sz w:val="22"/>
                <w:szCs w:val="22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E4157" w14:textId="464491C0" w:rsidR="00EE3A88" w:rsidRPr="006535DF" w:rsidRDefault="00EE3A88" w:rsidP="00535F1F">
            <w:pPr>
              <w:ind w:firstLine="45"/>
              <w:rPr>
                <w:sz w:val="22"/>
                <w:szCs w:val="22"/>
                <w:lang w:val="uz-Cyrl-UZ"/>
              </w:rPr>
            </w:pPr>
            <w:r w:rsidRPr="006535DF">
              <w:rPr>
                <w:sz w:val="22"/>
                <w:szCs w:val="22"/>
                <w:lang w:val="uz-Cyrl-UZ"/>
              </w:rPr>
              <w:t>100</w:t>
            </w:r>
          </w:p>
        </w:tc>
      </w:tr>
      <w:tr w:rsidR="00B243D5" w:rsidRPr="006535DF" w14:paraId="463DF94F" w14:textId="270C79C4" w:rsidTr="00E53DD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A058" w14:textId="77777777" w:rsidR="00EE3A88" w:rsidRPr="006535DF" w:rsidRDefault="00EE3A88" w:rsidP="00535F1F">
            <w:pPr>
              <w:rPr>
                <w:sz w:val="22"/>
                <w:szCs w:val="22"/>
              </w:rPr>
            </w:pP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962B88" w14:textId="77777777" w:rsidR="00EE3A88" w:rsidRPr="006535DF" w:rsidRDefault="00EE3A88" w:rsidP="00535F1F">
            <w:pPr>
              <w:jc w:val="center"/>
              <w:rPr>
                <w:sz w:val="22"/>
                <w:szCs w:val="22"/>
              </w:rPr>
            </w:pPr>
            <w:r w:rsidRPr="006535D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7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5DB6E4" w14:textId="155A527C" w:rsidR="00EE3A88" w:rsidRPr="00E6364E" w:rsidRDefault="00E6364E" w:rsidP="00EE3A88">
            <w:pPr>
              <w:jc w:val="center"/>
              <w:rPr>
                <w:sz w:val="22"/>
                <w:szCs w:val="22"/>
                <w:lang w:val="en-US"/>
              </w:rPr>
            </w:pPr>
            <w:r w:rsidRPr="00E6364E">
              <w:rPr>
                <w:b/>
                <w:bCs/>
                <w:sz w:val="22"/>
                <w:szCs w:val="22"/>
                <w:lang w:val="en-US"/>
              </w:rPr>
              <w:t>Ovoz</w:t>
            </w:r>
            <w:r w:rsidR="00EE3A88" w:rsidRPr="00E6364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b/>
                <w:bCs/>
                <w:sz w:val="22"/>
                <w:szCs w:val="22"/>
                <w:lang w:val="en-US"/>
              </w:rPr>
              <w:t>berishga</w:t>
            </w:r>
            <w:r w:rsidR="00EE3A88" w:rsidRPr="00E6364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b/>
                <w:bCs/>
                <w:sz w:val="22"/>
                <w:szCs w:val="22"/>
                <w:lang w:val="en-US"/>
              </w:rPr>
              <w:t>qo‘yilgan</w:t>
            </w:r>
            <w:r w:rsidR="00EE3A88" w:rsidRPr="00E6364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6364E">
              <w:rPr>
                <w:b/>
                <w:bCs/>
                <w:sz w:val="22"/>
                <w:szCs w:val="22"/>
                <w:lang w:val="en-US"/>
              </w:rPr>
              <w:t>masalalar</w:t>
            </w:r>
          </w:p>
        </w:tc>
        <w:tc>
          <w:tcPr>
            <w:tcW w:w="19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811DF" w14:textId="7207F187" w:rsidR="00EE3A88" w:rsidRPr="006535DF" w:rsidRDefault="00E6364E" w:rsidP="00535F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Ovoz</w:t>
            </w:r>
            <w:proofErr w:type="spellEnd"/>
            <w:r w:rsidR="00EE3A88" w:rsidRPr="006535D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berish</w:t>
            </w:r>
            <w:proofErr w:type="spellEnd"/>
            <w:r w:rsidR="00EE3A88" w:rsidRPr="006535D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yakunlari</w:t>
            </w:r>
            <w:proofErr w:type="spellEnd"/>
          </w:p>
        </w:tc>
      </w:tr>
      <w:tr w:rsidR="00B243D5" w:rsidRPr="006535DF" w14:paraId="286EECE2" w14:textId="77777777" w:rsidTr="00E53DD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132E" w14:textId="77777777" w:rsidR="00EE3A88" w:rsidRPr="006535DF" w:rsidRDefault="00EE3A88" w:rsidP="00535F1F">
            <w:pPr>
              <w:rPr>
                <w:sz w:val="22"/>
                <w:szCs w:val="22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B07D" w14:textId="77777777" w:rsidR="00EE3A88" w:rsidRPr="006535DF" w:rsidRDefault="00EE3A88" w:rsidP="00535F1F">
            <w:pPr>
              <w:rPr>
                <w:sz w:val="22"/>
                <w:szCs w:val="22"/>
              </w:rPr>
            </w:pPr>
          </w:p>
        </w:tc>
        <w:tc>
          <w:tcPr>
            <w:tcW w:w="27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059E" w14:textId="296FE431" w:rsidR="00EE3A88" w:rsidRPr="006535DF" w:rsidRDefault="00EE3A88" w:rsidP="00EE3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8054B" w14:textId="3A82D1C6" w:rsidR="00EE3A88" w:rsidRPr="006535DF" w:rsidRDefault="00E6364E" w:rsidP="00535F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yoqlash</w:t>
            </w:r>
            <w:proofErr w:type="spellEnd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5115CF5" w14:textId="3E57D5FD" w:rsidR="00EE3A88" w:rsidRPr="006535DF" w:rsidRDefault="00E6364E" w:rsidP="00535F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qarshi</w:t>
            </w:r>
            <w:proofErr w:type="spellEnd"/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62805AF" w14:textId="599E58F6" w:rsidR="00EE3A88" w:rsidRPr="006535DF" w:rsidRDefault="00E6364E" w:rsidP="00535F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betaraflar</w:t>
            </w:r>
            <w:proofErr w:type="spellEnd"/>
          </w:p>
        </w:tc>
      </w:tr>
      <w:tr w:rsidR="00C92792" w:rsidRPr="006535DF" w14:paraId="6789E214" w14:textId="77777777" w:rsidTr="00E53DD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5991" w14:textId="77777777" w:rsidR="00C92792" w:rsidRPr="006535DF" w:rsidRDefault="00C92792" w:rsidP="00C92792">
            <w:pPr>
              <w:rPr>
                <w:sz w:val="22"/>
                <w:szCs w:val="22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E3BF" w14:textId="77777777" w:rsidR="00C92792" w:rsidRPr="006535DF" w:rsidRDefault="00C92792" w:rsidP="00C92792">
            <w:pPr>
              <w:rPr>
                <w:sz w:val="22"/>
                <w:szCs w:val="22"/>
              </w:rPr>
            </w:pPr>
          </w:p>
        </w:tc>
        <w:tc>
          <w:tcPr>
            <w:tcW w:w="27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7FEF" w14:textId="50059CC6" w:rsidR="00C92792" w:rsidRPr="006535DF" w:rsidRDefault="00C92792" w:rsidP="00C92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E3A9" w14:textId="2CDEAD37" w:rsidR="00C92792" w:rsidRPr="006535DF" w:rsidRDefault="00C92792" w:rsidP="00C92792">
            <w:pPr>
              <w:jc w:val="center"/>
              <w:rPr>
                <w:sz w:val="22"/>
                <w:szCs w:val="22"/>
              </w:rPr>
            </w:pPr>
            <w:r w:rsidRPr="006535DF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EE27A" w14:textId="2D9C9FFE" w:rsidR="00C92792" w:rsidRPr="006535DF" w:rsidRDefault="00E6364E" w:rsidP="00C927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soni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470F46A" w14:textId="7F5E1815" w:rsidR="00C92792" w:rsidRPr="006535DF" w:rsidRDefault="00C92792" w:rsidP="00C92792">
            <w:pPr>
              <w:jc w:val="center"/>
              <w:rPr>
                <w:sz w:val="22"/>
                <w:szCs w:val="22"/>
              </w:rPr>
            </w:pPr>
            <w:r w:rsidRPr="006535DF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4D512" w14:textId="1AF6223F" w:rsidR="00C92792" w:rsidRPr="006535DF" w:rsidRDefault="00E6364E" w:rsidP="00C927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soni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C5D4A3E" w14:textId="2E2616C8" w:rsidR="00C92792" w:rsidRPr="006535DF" w:rsidRDefault="00C92792" w:rsidP="00C92792">
            <w:pPr>
              <w:jc w:val="center"/>
              <w:rPr>
                <w:sz w:val="22"/>
                <w:szCs w:val="22"/>
              </w:rPr>
            </w:pPr>
            <w:r w:rsidRPr="006535DF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F60E27" w14:textId="004AD440" w:rsidR="00C92792" w:rsidRPr="006535DF" w:rsidRDefault="00E6364E" w:rsidP="00C9279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soni</w:t>
            </w:r>
            <w:proofErr w:type="spellEnd"/>
          </w:p>
        </w:tc>
      </w:tr>
      <w:tr w:rsidR="006535DF" w:rsidRPr="006535DF" w14:paraId="5E637AB3" w14:textId="77777777" w:rsidTr="00E53DD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1965" w14:textId="77777777" w:rsidR="00C92792" w:rsidRPr="006535DF" w:rsidRDefault="00C92792" w:rsidP="00C92792">
            <w:pPr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E20266" w14:textId="77777777" w:rsidR="00C92792" w:rsidRPr="006535DF" w:rsidRDefault="00C92792" w:rsidP="00C92792">
            <w:pPr>
              <w:jc w:val="center"/>
              <w:rPr>
                <w:sz w:val="22"/>
                <w:szCs w:val="22"/>
              </w:rPr>
            </w:pPr>
            <w:r w:rsidRPr="006535DF">
              <w:rPr>
                <w:sz w:val="22"/>
                <w:szCs w:val="22"/>
              </w:rPr>
              <w:t>1.</w:t>
            </w:r>
          </w:p>
        </w:tc>
        <w:tc>
          <w:tcPr>
            <w:tcW w:w="2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2E2ABE" w14:textId="7B2626DF" w:rsidR="00C92792" w:rsidRPr="006535DF" w:rsidRDefault="007960CA" w:rsidP="007960CA">
            <w:pPr>
              <w:jc w:val="both"/>
              <w:rPr>
                <w:rFonts w:eastAsia="Times New Roman"/>
                <w:sz w:val="22"/>
                <w:szCs w:val="22"/>
                <w:lang w:val="uz-Cyrl-UZ"/>
              </w:rPr>
            </w:pPr>
            <w:r w:rsidRPr="007960CA">
              <w:rPr>
                <w:rFonts w:eastAsia="Times New Roman"/>
                <w:sz w:val="22"/>
                <w:szCs w:val="22"/>
                <w:lang w:val="uz-Cyrl-UZ"/>
              </w:rPr>
              <w:t xml:space="preserve">1. </w:t>
            </w:r>
            <w:r w:rsidR="00E6364E">
              <w:rPr>
                <w:rFonts w:eastAsia="Times New Roman"/>
                <w:sz w:val="22"/>
                <w:szCs w:val="22"/>
                <w:lang w:val="uz-Cyrl-UZ"/>
              </w:rPr>
              <w:t>O‘zbekiston</w:t>
            </w:r>
            <w:r w:rsidRPr="007960CA">
              <w:rPr>
                <w:rFonts w:eastAsia="Times New Roman"/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rFonts w:eastAsia="Times New Roman"/>
                <w:sz w:val="22"/>
                <w:szCs w:val="22"/>
                <w:lang w:val="uz-Cyrl-UZ"/>
              </w:rPr>
              <w:t>Respublikasi</w:t>
            </w:r>
            <w:r w:rsidRPr="007960CA">
              <w:rPr>
                <w:rFonts w:eastAsia="Times New Roman"/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rFonts w:eastAsia="Times New Roman"/>
                <w:sz w:val="22"/>
                <w:szCs w:val="22"/>
                <w:lang w:val="uz-Cyrl-UZ"/>
              </w:rPr>
              <w:t>Iqtisodiyot</w:t>
            </w:r>
            <w:r w:rsidRPr="007960CA">
              <w:rPr>
                <w:rFonts w:eastAsia="Times New Roman"/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rFonts w:eastAsia="Times New Roman"/>
                <w:sz w:val="22"/>
                <w:szCs w:val="22"/>
                <w:lang w:val="uz-Cyrl-UZ"/>
              </w:rPr>
              <w:t>va</w:t>
            </w:r>
            <w:r w:rsidRPr="007960CA">
              <w:rPr>
                <w:rFonts w:eastAsia="Times New Roman"/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rFonts w:eastAsia="Times New Roman"/>
                <w:sz w:val="22"/>
                <w:szCs w:val="22"/>
                <w:lang w:val="uz-Cyrl-UZ"/>
              </w:rPr>
              <w:t>moliya</w:t>
            </w:r>
            <w:r w:rsidRPr="007960CA">
              <w:rPr>
                <w:rFonts w:eastAsia="Times New Roman"/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rFonts w:eastAsia="Times New Roman"/>
                <w:sz w:val="22"/>
                <w:szCs w:val="22"/>
                <w:lang w:val="uz-Cyrl-UZ"/>
              </w:rPr>
              <w:t>vazirligi</w:t>
            </w:r>
            <w:r w:rsidRPr="007960CA">
              <w:rPr>
                <w:rFonts w:eastAsia="Times New Roman"/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rFonts w:eastAsia="Times New Roman"/>
                <w:sz w:val="22"/>
                <w:szCs w:val="22"/>
                <w:lang w:val="uz-Cyrl-UZ"/>
              </w:rPr>
              <w:t>tasarrufidagi</w:t>
            </w:r>
            <w:r w:rsidRPr="007960CA">
              <w:rPr>
                <w:rFonts w:eastAsia="Times New Roman"/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rFonts w:eastAsia="Times New Roman"/>
                <w:sz w:val="22"/>
                <w:szCs w:val="22"/>
                <w:lang w:val="uz-Cyrl-UZ"/>
              </w:rPr>
              <w:t>ma’muriy</w:t>
            </w:r>
            <w:r w:rsidRPr="007960CA">
              <w:rPr>
                <w:rFonts w:eastAsia="Times New Roman"/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rFonts w:eastAsia="Times New Roman"/>
                <w:sz w:val="22"/>
                <w:szCs w:val="22"/>
                <w:lang w:val="uz-Cyrl-UZ"/>
              </w:rPr>
              <w:t>binolardan</w:t>
            </w:r>
            <w:r w:rsidRPr="007960CA">
              <w:rPr>
                <w:rFonts w:eastAsia="Times New Roman"/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rFonts w:eastAsia="Times New Roman"/>
                <w:sz w:val="22"/>
                <w:szCs w:val="22"/>
                <w:lang w:val="uz-Cyrl-UZ"/>
              </w:rPr>
              <w:t>foydalanish</w:t>
            </w:r>
            <w:r w:rsidRPr="007960CA">
              <w:rPr>
                <w:rFonts w:eastAsia="Times New Roman"/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rFonts w:eastAsia="Times New Roman"/>
                <w:sz w:val="22"/>
                <w:szCs w:val="22"/>
                <w:lang w:val="uz-Cyrl-UZ"/>
              </w:rPr>
              <w:t>boshqarmasining</w:t>
            </w:r>
            <w:r w:rsidRPr="007960CA">
              <w:rPr>
                <w:rFonts w:eastAsia="Times New Roman"/>
                <w:sz w:val="22"/>
                <w:szCs w:val="22"/>
                <w:lang w:val="uz-Cyrl-UZ"/>
              </w:rPr>
              <w:t xml:space="preserve"> 2024-</w:t>
            </w:r>
            <w:r w:rsidR="00E6364E">
              <w:rPr>
                <w:rFonts w:eastAsia="Times New Roman"/>
                <w:sz w:val="22"/>
                <w:szCs w:val="22"/>
                <w:lang w:val="uz-Cyrl-UZ"/>
              </w:rPr>
              <w:t>yil</w:t>
            </w:r>
            <w:r w:rsidRPr="007960CA">
              <w:rPr>
                <w:rFonts w:eastAsia="Times New Roman"/>
                <w:sz w:val="22"/>
                <w:szCs w:val="22"/>
                <w:lang w:val="uz-Cyrl-UZ"/>
              </w:rPr>
              <w:t xml:space="preserve"> 18-</w:t>
            </w:r>
            <w:r w:rsidR="00E6364E">
              <w:rPr>
                <w:rFonts w:eastAsia="Times New Roman"/>
                <w:sz w:val="22"/>
                <w:szCs w:val="22"/>
                <w:lang w:val="uz-Cyrl-UZ"/>
              </w:rPr>
              <w:t>iyuldagi</w:t>
            </w:r>
            <w:r w:rsidRPr="007960CA">
              <w:rPr>
                <w:rFonts w:eastAsia="Times New Roman"/>
                <w:sz w:val="22"/>
                <w:szCs w:val="22"/>
                <w:lang w:val="uz-Cyrl-UZ"/>
              </w:rPr>
              <w:t xml:space="preserve"> 3-76-1/07-10-</w:t>
            </w:r>
            <w:r w:rsidR="00E6364E">
              <w:rPr>
                <w:rFonts w:eastAsia="Times New Roman"/>
                <w:sz w:val="22"/>
                <w:szCs w:val="22"/>
                <w:lang w:val="uz-Cyrl-UZ"/>
              </w:rPr>
              <w:t>sonli</w:t>
            </w:r>
            <w:r w:rsidRPr="007960CA">
              <w:rPr>
                <w:rFonts w:eastAsia="Times New Roman"/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rFonts w:eastAsia="Times New Roman"/>
                <w:sz w:val="22"/>
                <w:szCs w:val="22"/>
                <w:lang w:val="uz-Cyrl-UZ"/>
              </w:rPr>
              <w:t>xatini</w:t>
            </w:r>
            <w:r w:rsidRPr="007960CA">
              <w:rPr>
                <w:rFonts w:eastAsia="Times New Roman"/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rFonts w:eastAsia="Times New Roman"/>
                <w:sz w:val="22"/>
                <w:szCs w:val="22"/>
                <w:lang w:val="uz-Cyrl-UZ"/>
              </w:rPr>
              <w:t>ko‘rib</w:t>
            </w:r>
            <w:r w:rsidRPr="007960CA">
              <w:rPr>
                <w:rFonts w:eastAsia="Times New Roman"/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rFonts w:eastAsia="Times New Roman"/>
                <w:sz w:val="22"/>
                <w:szCs w:val="22"/>
                <w:lang w:val="uz-Cyrl-UZ"/>
              </w:rPr>
              <w:t>chiqish</w:t>
            </w:r>
            <w:r w:rsidRPr="007960CA">
              <w:rPr>
                <w:rFonts w:eastAsia="Times New Roman"/>
                <w:sz w:val="22"/>
                <w:szCs w:val="22"/>
                <w:lang w:val="uz-Cyrl-UZ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70345" w14:textId="7A646531" w:rsidR="00C92792" w:rsidRPr="006535DF" w:rsidRDefault="00C92792" w:rsidP="00C92792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6535DF">
              <w:rPr>
                <w:rFonts w:eastAsia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D5C17" w14:textId="6E366A34" w:rsidR="00C92792" w:rsidRPr="006535DF" w:rsidRDefault="00C92792" w:rsidP="00C92792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6535DF">
              <w:rPr>
                <w:rFonts w:eastAsia="Times New Roman"/>
                <w:sz w:val="22"/>
                <w:szCs w:val="22"/>
                <w:lang w:val="en-US"/>
              </w:rPr>
              <w:t>10</w:t>
            </w:r>
            <w:r w:rsidR="007960CA">
              <w:rPr>
                <w:rFonts w:eastAsia="Times New Roman"/>
                <w:sz w:val="22"/>
                <w:szCs w:val="22"/>
                <w:lang w:val="en-US"/>
              </w:rPr>
              <w:t> </w:t>
            </w:r>
            <w:r w:rsidRPr="006535DF">
              <w:rPr>
                <w:rFonts w:eastAsia="Times New Roman"/>
                <w:sz w:val="22"/>
                <w:szCs w:val="22"/>
                <w:lang w:val="en-US"/>
              </w:rPr>
              <w:t>000</w:t>
            </w:r>
            <w:r w:rsidR="006535DF" w:rsidRPr="006535DF">
              <w:rPr>
                <w:rFonts w:eastAsia="Times New Roman"/>
                <w:sz w:val="22"/>
                <w:szCs w:val="22"/>
                <w:lang w:val="en-US"/>
              </w:rPr>
              <w:t> </w:t>
            </w:r>
            <w:r w:rsidRPr="006535DF">
              <w:rPr>
                <w:rFonts w:eastAsia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8BAEB4" w14:textId="2AC2121B" w:rsidR="00C92792" w:rsidRPr="006535DF" w:rsidRDefault="00C92792" w:rsidP="00C92792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6535DF">
              <w:rPr>
                <w:rFonts w:eastAsia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F5E13" w14:textId="725F500C" w:rsidR="00C92792" w:rsidRPr="006535DF" w:rsidRDefault="00C92792" w:rsidP="006535D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6535DF">
              <w:rPr>
                <w:rFonts w:eastAsia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4B9EF88" w14:textId="69DE2FDF" w:rsidR="00C92792" w:rsidRPr="006535DF" w:rsidRDefault="00C92792" w:rsidP="00C92792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6535DF">
              <w:rPr>
                <w:rFonts w:eastAsia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C26FA76" w14:textId="4715A6D3" w:rsidR="00C92792" w:rsidRPr="006535DF" w:rsidRDefault="00C92792" w:rsidP="00C92792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6535DF">
              <w:rPr>
                <w:rFonts w:eastAsia="Times New Roman"/>
                <w:sz w:val="22"/>
                <w:szCs w:val="22"/>
                <w:lang w:val="en-US"/>
              </w:rPr>
              <w:t>0</w:t>
            </w:r>
          </w:p>
        </w:tc>
      </w:tr>
      <w:tr w:rsidR="006535DF" w:rsidRPr="00E53DD3" w14:paraId="0C268C36" w14:textId="77777777" w:rsidTr="00E53DD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1DE9" w14:textId="77777777" w:rsidR="006535DF" w:rsidRPr="006535DF" w:rsidRDefault="006535DF" w:rsidP="006535DF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48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233B6" w14:textId="49D12180" w:rsidR="006535DF" w:rsidRPr="007960CA" w:rsidRDefault="00E6364E" w:rsidP="006535DF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Umumiy</w:t>
            </w:r>
            <w:r w:rsidR="006535DF" w:rsidRPr="007960CA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yig‘ilish</w:t>
            </w:r>
            <w:r w:rsidR="006535DF" w:rsidRPr="007960CA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tomonidan</w:t>
            </w:r>
            <w:r w:rsidR="006535DF" w:rsidRPr="007960CA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qabul</w:t>
            </w:r>
            <w:r w:rsidR="006535DF" w:rsidRPr="007960CA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qilingan</w:t>
            </w:r>
            <w:r w:rsidR="006535DF" w:rsidRPr="007960CA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qarorlarning</w:t>
            </w:r>
            <w:r w:rsidR="006535DF" w:rsidRPr="007960CA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to‘liq</w:t>
            </w:r>
            <w:r w:rsidR="006535DF" w:rsidRPr="007960CA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bayoni</w:t>
            </w:r>
            <w:r w:rsidR="006535DF" w:rsidRPr="007960CA">
              <w:rPr>
                <w:sz w:val="22"/>
                <w:szCs w:val="22"/>
                <w:lang w:val="uz-Cyrl-UZ"/>
              </w:rPr>
              <w:t>:</w:t>
            </w:r>
          </w:p>
        </w:tc>
      </w:tr>
      <w:tr w:rsidR="006535DF" w:rsidRPr="007960CA" w14:paraId="1DE9F570" w14:textId="77777777" w:rsidTr="00E53DD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A4D8" w14:textId="77777777" w:rsidR="006535DF" w:rsidRPr="007960CA" w:rsidRDefault="006535DF" w:rsidP="006535DF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09D944" w14:textId="77777777" w:rsidR="006535DF" w:rsidRPr="006535DF" w:rsidRDefault="006535DF" w:rsidP="006535DF">
            <w:pPr>
              <w:jc w:val="center"/>
              <w:rPr>
                <w:sz w:val="22"/>
                <w:szCs w:val="22"/>
              </w:rPr>
            </w:pPr>
            <w:r w:rsidRPr="006535DF">
              <w:rPr>
                <w:sz w:val="22"/>
                <w:szCs w:val="22"/>
              </w:rPr>
              <w:t>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486F7D" w14:textId="4A976DA5" w:rsidR="006535DF" w:rsidRPr="006535DF" w:rsidRDefault="006535DF" w:rsidP="006535DF">
            <w:pPr>
              <w:jc w:val="both"/>
              <w:rPr>
                <w:sz w:val="22"/>
                <w:szCs w:val="22"/>
                <w:lang w:val="uz-Cyrl-UZ"/>
              </w:rPr>
            </w:pPr>
            <w:r w:rsidRPr="006535DF">
              <w:rPr>
                <w:sz w:val="22"/>
                <w:szCs w:val="22"/>
                <w:lang w:val="uz-Cyrl-UZ"/>
              </w:rPr>
              <w:t xml:space="preserve">1. “UzGasTrade” </w:t>
            </w:r>
            <w:r w:rsidR="00E6364E">
              <w:rPr>
                <w:sz w:val="22"/>
                <w:szCs w:val="22"/>
                <w:lang w:val="uz-Cyrl-UZ"/>
              </w:rPr>
              <w:t>AJ</w:t>
            </w:r>
            <w:r w:rsidRPr="006535DF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balansidagi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qiymati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120</w:t>
            </w:r>
            <w:r w:rsidR="00E53DD3">
              <w:rPr>
                <w:sz w:val="22"/>
                <w:szCs w:val="22"/>
                <w:lang w:val="uz-Cyrl-UZ"/>
              </w:rPr>
              <w:t> </w:t>
            </w:r>
            <w:r w:rsidR="007960CA" w:rsidRPr="007960CA">
              <w:rPr>
                <w:sz w:val="22"/>
                <w:szCs w:val="22"/>
                <w:lang w:val="uz-Cyrl-UZ"/>
              </w:rPr>
              <w:t>009</w:t>
            </w:r>
            <w:r w:rsidR="00E53DD3">
              <w:rPr>
                <w:sz w:val="22"/>
                <w:szCs w:val="22"/>
                <w:lang w:val="en-US"/>
              </w:rPr>
              <w:t> 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400 </w:t>
            </w:r>
            <w:r w:rsidR="00E6364E">
              <w:rPr>
                <w:sz w:val="22"/>
                <w:szCs w:val="22"/>
                <w:lang w:val="uz-Cyrl-UZ"/>
              </w:rPr>
              <w:t>so‘m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bir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dona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Uch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diapazonli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optik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tolali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takrorlagich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(</w:t>
            </w:r>
            <w:r w:rsidR="00E6364E">
              <w:rPr>
                <w:sz w:val="22"/>
                <w:szCs w:val="22"/>
                <w:lang w:val="uz-Cyrl-UZ"/>
              </w:rPr>
              <w:t>Signal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konvertori</w:t>
            </w:r>
            <w:r w:rsidR="007960CA" w:rsidRPr="007960CA">
              <w:rPr>
                <w:sz w:val="22"/>
                <w:szCs w:val="22"/>
                <w:lang w:val="uz-Cyrl-UZ"/>
              </w:rPr>
              <w:t>) (</w:t>
            </w:r>
            <w:r w:rsidR="00E6364E">
              <w:rPr>
                <w:sz w:val="22"/>
                <w:szCs w:val="22"/>
                <w:lang w:val="uz-Cyrl-UZ"/>
              </w:rPr>
              <w:t>Trexdiapazonn</w:t>
            </w:r>
            <w:r w:rsidR="007960CA" w:rsidRPr="007960CA">
              <w:rPr>
                <w:sz w:val="22"/>
                <w:szCs w:val="22"/>
                <w:lang w:val="uz-Cyrl-UZ"/>
              </w:rPr>
              <w:t>ы</w:t>
            </w:r>
            <w:r w:rsidR="00E6364E">
              <w:rPr>
                <w:sz w:val="22"/>
                <w:szCs w:val="22"/>
                <w:lang w:val="uz-Cyrl-UZ"/>
              </w:rPr>
              <w:t>y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volokonnoopticheskiy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retranslyator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(</w:t>
            </w:r>
            <w:r w:rsidR="00E6364E">
              <w:rPr>
                <w:sz w:val="22"/>
                <w:szCs w:val="22"/>
                <w:lang w:val="uz-Cyrl-UZ"/>
              </w:rPr>
              <w:t>Preobrazovatel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signala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) </w:t>
            </w:r>
            <w:r w:rsidR="00E6364E">
              <w:rPr>
                <w:sz w:val="22"/>
                <w:szCs w:val="22"/>
                <w:lang w:val="uz-Cyrl-UZ"/>
              </w:rPr>
              <w:t>va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uch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dona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uch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diapazonli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optik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tolali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takrorlagich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(</w:t>
            </w:r>
            <w:r w:rsidR="00E6364E">
              <w:rPr>
                <w:sz w:val="22"/>
                <w:szCs w:val="22"/>
                <w:lang w:val="uz-Cyrl-UZ"/>
              </w:rPr>
              <w:t>Signal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kuchaytirgich</w:t>
            </w:r>
            <w:r w:rsidR="007960CA" w:rsidRPr="007960CA">
              <w:rPr>
                <w:sz w:val="22"/>
                <w:szCs w:val="22"/>
                <w:lang w:val="uz-Cyrl-UZ"/>
              </w:rPr>
              <w:t>) (</w:t>
            </w:r>
            <w:r w:rsidR="00E6364E">
              <w:rPr>
                <w:sz w:val="22"/>
                <w:szCs w:val="22"/>
                <w:lang w:val="uz-Cyrl-UZ"/>
              </w:rPr>
              <w:t>Trexdiapazonn</w:t>
            </w:r>
            <w:r w:rsidR="007960CA" w:rsidRPr="007960CA">
              <w:rPr>
                <w:sz w:val="22"/>
                <w:szCs w:val="22"/>
                <w:lang w:val="uz-Cyrl-UZ"/>
              </w:rPr>
              <w:t>ы</w:t>
            </w:r>
            <w:r w:rsidR="00E6364E">
              <w:rPr>
                <w:sz w:val="22"/>
                <w:szCs w:val="22"/>
                <w:lang w:val="uz-Cyrl-UZ"/>
              </w:rPr>
              <w:t>y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volokonnoopticheskiy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retranslyator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(</w:t>
            </w:r>
            <w:r w:rsidR="00E6364E">
              <w:rPr>
                <w:sz w:val="22"/>
                <w:szCs w:val="22"/>
                <w:lang w:val="uz-Cyrl-UZ"/>
              </w:rPr>
              <w:t>Usilitel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signala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) </w:t>
            </w:r>
            <w:r w:rsidR="00E6364E">
              <w:rPr>
                <w:sz w:val="22"/>
                <w:szCs w:val="22"/>
                <w:lang w:val="uz-Cyrl-UZ"/>
              </w:rPr>
              <w:t>moslamalari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O‘zbekiston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Respublikasi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Iqtisodiyot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va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moliya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vazirligi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tasarrufidagi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ma’muriy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binolardan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foydalanish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boshqarmasining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balansiga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beg‘araz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o‘tkazib</w:t>
            </w:r>
            <w:r w:rsidR="007960CA" w:rsidRPr="007960CA">
              <w:rPr>
                <w:sz w:val="22"/>
                <w:szCs w:val="22"/>
                <w:lang w:val="uz-Cyrl-UZ"/>
              </w:rPr>
              <w:t xml:space="preserve"> </w:t>
            </w:r>
            <w:r w:rsidR="00E6364E">
              <w:rPr>
                <w:sz w:val="22"/>
                <w:szCs w:val="22"/>
                <w:lang w:val="uz-Cyrl-UZ"/>
              </w:rPr>
              <w:t>berilsin</w:t>
            </w:r>
            <w:r w:rsidR="007960CA" w:rsidRPr="007960CA">
              <w:rPr>
                <w:sz w:val="22"/>
                <w:szCs w:val="22"/>
                <w:lang w:val="uz-Cyrl-UZ"/>
              </w:rPr>
              <w:t>.</w:t>
            </w:r>
          </w:p>
        </w:tc>
      </w:tr>
      <w:tr w:rsidR="006535DF" w:rsidRPr="006535DF" w14:paraId="043C4343" w14:textId="77777777" w:rsidTr="00E53DD3">
        <w:tc>
          <w:tcPr>
            <w:tcW w:w="127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00E093" w14:textId="77777777" w:rsidR="006535DF" w:rsidRPr="006535DF" w:rsidRDefault="006535DF" w:rsidP="006535DF">
            <w:pPr>
              <w:rPr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B4102A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DCEDE7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9FABF5" w14:textId="4FD22B85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6" w:type="pct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94A535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929582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7E58FF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528EE07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404FA4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E53DD3" w:rsidRPr="006535DF" w14:paraId="1CD119FE" w14:textId="378BE62D" w:rsidTr="00E53DD3">
        <w:tc>
          <w:tcPr>
            <w:tcW w:w="127" w:type="pct"/>
            <w:vMerge/>
            <w:vAlign w:val="center"/>
            <w:hideMark/>
          </w:tcPr>
          <w:p w14:paraId="16ED1E69" w14:textId="77777777" w:rsidR="00E53DD3" w:rsidRPr="006535DF" w:rsidRDefault="00E53DD3" w:rsidP="006535DF">
            <w:pPr>
              <w:rPr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B4570C" w14:textId="77777777" w:rsidR="00E53DD3" w:rsidRPr="006535DF" w:rsidRDefault="00E53DD3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12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4E138F" w14:textId="6D3ADB2C" w:rsidR="00E53DD3" w:rsidRPr="00E6364E" w:rsidRDefault="00E53DD3" w:rsidP="006535D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6364E">
              <w:rPr>
                <w:sz w:val="22"/>
                <w:szCs w:val="22"/>
                <w:lang w:val="en-US"/>
              </w:rPr>
              <w:t>Ijroiya organi rahbarining F.I.Sh.:</w:t>
            </w:r>
          </w:p>
        </w:tc>
        <w:tc>
          <w:tcPr>
            <w:tcW w:w="1132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A2B49" w14:textId="7F731EBF" w:rsidR="00E53DD3" w:rsidRPr="006535DF" w:rsidRDefault="00E53DD3" w:rsidP="006535D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</w:t>
            </w:r>
            <w:r w:rsidRPr="006535DF"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  <w:lang w:val="en-US"/>
              </w:rPr>
              <w:t> 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Agzamov</w:t>
            </w:r>
            <w:proofErr w:type="spellEnd"/>
          </w:p>
        </w:tc>
      </w:tr>
      <w:tr w:rsidR="006535DF" w:rsidRPr="006535DF" w14:paraId="0DA4ED7F" w14:textId="77777777" w:rsidTr="00E53DD3">
        <w:tc>
          <w:tcPr>
            <w:tcW w:w="127" w:type="pct"/>
            <w:vMerge/>
            <w:vAlign w:val="center"/>
            <w:hideMark/>
          </w:tcPr>
          <w:p w14:paraId="1CDED395" w14:textId="77777777" w:rsidR="006535DF" w:rsidRPr="006535DF" w:rsidRDefault="006535DF" w:rsidP="006535DF">
            <w:pPr>
              <w:rPr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67B859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8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17F12B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5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8BD95C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6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1E76FE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C79636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DA6856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1E19976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C92533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E53DD3" w:rsidRPr="006535DF" w14:paraId="4B405098" w14:textId="77777777" w:rsidTr="00E53DD3">
        <w:tc>
          <w:tcPr>
            <w:tcW w:w="127" w:type="pct"/>
            <w:vMerge/>
            <w:vAlign w:val="center"/>
            <w:hideMark/>
          </w:tcPr>
          <w:p w14:paraId="0B37DE0F" w14:textId="77777777" w:rsidR="00E53DD3" w:rsidRPr="006535DF" w:rsidRDefault="00E53DD3" w:rsidP="006535DF">
            <w:pPr>
              <w:rPr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4E8C69" w14:textId="77777777" w:rsidR="00E53DD3" w:rsidRPr="006535DF" w:rsidRDefault="00E53DD3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12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C0EE3D" w14:textId="45CEF954" w:rsidR="00E53DD3" w:rsidRPr="00E6364E" w:rsidRDefault="00E53DD3" w:rsidP="006535D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6364E">
              <w:rPr>
                <w:sz w:val="22"/>
                <w:szCs w:val="22"/>
                <w:lang w:val="en-US"/>
              </w:rPr>
              <w:t>Bosh buxgalterning F.I.Sh.:</w:t>
            </w:r>
          </w:p>
        </w:tc>
        <w:tc>
          <w:tcPr>
            <w:tcW w:w="1132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F904F6" w14:textId="61BF3578" w:rsidR="00E53DD3" w:rsidRPr="006535DF" w:rsidRDefault="00E53DD3" w:rsidP="006535D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R</w:t>
            </w:r>
            <w:r w:rsidRPr="006535DF"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  <w:lang w:val="en-US"/>
              </w:rPr>
              <w:t> 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Inogamov</w:t>
            </w:r>
            <w:proofErr w:type="spellEnd"/>
          </w:p>
        </w:tc>
      </w:tr>
      <w:tr w:rsidR="006535DF" w:rsidRPr="006535DF" w14:paraId="745DC382" w14:textId="77777777" w:rsidTr="00E53DD3">
        <w:tc>
          <w:tcPr>
            <w:tcW w:w="127" w:type="pct"/>
            <w:vMerge/>
            <w:vAlign w:val="center"/>
            <w:hideMark/>
          </w:tcPr>
          <w:p w14:paraId="7D60C18A" w14:textId="77777777" w:rsidR="006535DF" w:rsidRPr="006535DF" w:rsidRDefault="006535DF" w:rsidP="006535DF">
            <w:pPr>
              <w:rPr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EDC1AC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8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2BA4BF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5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5C153E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6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A7CDE9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9303B6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02536E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A477587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74C2B1" w14:textId="77777777" w:rsidR="006535DF" w:rsidRPr="006535DF" w:rsidRDefault="006535DF" w:rsidP="006535D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E53DD3" w:rsidRPr="006535DF" w14:paraId="6AB800AD" w14:textId="77777777" w:rsidTr="00E53DD3">
        <w:tc>
          <w:tcPr>
            <w:tcW w:w="127" w:type="pct"/>
            <w:vMerge/>
            <w:vAlign w:val="center"/>
            <w:hideMark/>
          </w:tcPr>
          <w:p w14:paraId="4C224FCE" w14:textId="77777777" w:rsidR="00E53DD3" w:rsidRPr="006535DF" w:rsidRDefault="00E53DD3" w:rsidP="006535DF">
            <w:pPr>
              <w:rPr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5C7C28" w14:textId="77777777" w:rsidR="00E53DD3" w:rsidRPr="006535DF" w:rsidRDefault="00E53DD3" w:rsidP="006535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12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466A97" w14:textId="1C8B5A09" w:rsidR="00E53DD3" w:rsidRPr="00E6364E" w:rsidRDefault="00E53DD3" w:rsidP="006535D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E6364E">
              <w:rPr>
                <w:sz w:val="22"/>
                <w:szCs w:val="22"/>
                <w:lang w:val="en-US"/>
              </w:rPr>
              <w:t>Veb-saytda axborot joylashtirgan vakolatli shaxsning F.I.Sh.:</w:t>
            </w:r>
          </w:p>
        </w:tc>
        <w:tc>
          <w:tcPr>
            <w:tcW w:w="1132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0C3E1F" w14:textId="41B32EDA" w:rsidR="00E53DD3" w:rsidRPr="006535DF" w:rsidRDefault="00E53DD3" w:rsidP="006535D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</w:t>
            </w:r>
            <w:r w:rsidRPr="006535DF"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  <w:lang w:val="en-US"/>
              </w:rPr>
              <w:t> Qo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chqarov</w:t>
            </w:r>
            <w:proofErr w:type="spellEnd"/>
          </w:p>
        </w:tc>
      </w:tr>
    </w:tbl>
    <w:p w14:paraId="2FFEEFC0" w14:textId="1C1DCF3E" w:rsidR="00DA1A74" w:rsidRPr="006535DF" w:rsidRDefault="00DA1A74" w:rsidP="006535DF">
      <w:pPr>
        <w:rPr>
          <w:sz w:val="22"/>
          <w:szCs w:val="22"/>
        </w:rPr>
      </w:pPr>
    </w:p>
    <w:sectPr w:rsidR="00DA1A74" w:rsidRPr="006535DF" w:rsidSect="0042394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E8"/>
    <w:rsid w:val="000F1B90"/>
    <w:rsid w:val="0028501A"/>
    <w:rsid w:val="0042394A"/>
    <w:rsid w:val="005C5BC3"/>
    <w:rsid w:val="006535DF"/>
    <w:rsid w:val="007629CA"/>
    <w:rsid w:val="007960CA"/>
    <w:rsid w:val="007D5F25"/>
    <w:rsid w:val="00A72C53"/>
    <w:rsid w:val="00A94A2E"/>
    <w:rsid w:val="00B243D5"/>
    <w:rsid w:val="00C216E8"/>
    <w:rsid w:val="00C92792"/>
    <w:rsid w:val="00DA1A74"/>
    <w:rsid w:val="00DB25A5"/>
    <w:rsid w:val="00E53DD3"/>
    <w:rsid w:val="00E6364E"/>
    <w:rsid w:val="00E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A81B"/>
  <w15:chartTrackingRefBased/>
  <w15:docId w15:val="{58E8E2F7-76E1-4B73-B588-EBE78D4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scrollText(3080137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scrollText(3080137)" TargetMode="External"/><Relationship Id="rId5" Type="http://schemas.openxmlformats.org/officeDocument/2006/relationships/hyperlink" Target="javascript:scrollText(3080137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852A-5C67-4180-919F-29FF4FFF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2024-08-26T04:07:00Z</cp:lastPrinted>
  <dcterms:created xsi:type="dcterms:W3CDTF">2024-08-26T04:41:00Z</dcterms:created>
  <dcterms:modified xsi:type="dcterms:W3CDTF">2024-08-26T04:41:00Z</dcterms:modified>
</cp:coreProperties>
</file>